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EA43" w14:textId="77777777" w:rsidR="00583E9A" w:rsidRDefault="004C0086" w:rsidP="001205A4">
      <w:pPr>
        <w:spacing w:after="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5C09981" wp14:editId="1B4F0C5D">
            <wp:simplePos x="0" y="0"/>
            <wp:positionH relativeFrom="column">
              <wp:posOffset>-457835</wp:posOffset>
            </wp:positionH>
            <wp:positionV relativeFrom="paragraph">
              <wp:posOffset>-395605</wp:posOffset>
            </wp:positionV>
            <wp:extent cx="9906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185" y="21390"/>
                <wp:lineTo x="21185" y="0"/>
                <wp:lineTo x="0" y="0"/>
              </wp:wrapPolygon>
            </wp:wrapTight>
            <wp:docPr id="2" name="Image 0" descr="267234_1447188741_cgt-logo-ok-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7234_1447188741_cgt-logo-ok-g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19F3F8" w14:textId="77777777" w:rsidR="004C0086" w:rsidRDefault="004C0086" w:rsidP="001205A4">
      <w:pPr>
        <w:spacing w:after="0"/>
        <w:jc w:val="center"/>
        <w:rPr>
          <w:b/>
          <w:sz w:val="36"/>
          <w:szCs w:val="36"/>
        </w:rPr>
      </w:pPr>
    </w:p>
    <w:p w14:paraId="3356CCCB" w14:textId="7974BBDB" w:rsidR="00BE0D21" w:rsidRDefault="00BE0D21" w:rsidP="001205A4">
      <w:pPr>
        <w:spacing w:after="0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Communiqué de presse</w:t>
      </w:r>
    </w:p>
    <w:p w14:paraId="23FB4437" w14:textId="77777777" w:rsidR="00BE0D21" w:rsidRDefault="00BE0D21" w:rsidP="001205A4">
      <w:pPr>
        <w:spacing w:after="0"/>
        <w:jc w:val="center"/>
        <w:rPr>
          <w:b/>
          <w:sz w:val="28"/>
          <w:szCs w:val="36"/>
        </w:rPr>
      </w:pPr>
    </w:p>
    <w:p w14:paraId="4209C246" w14:textId="0B6ED970" w:rsidR="00B6278A" w:rsidRDefault="00B6278A" w:rsidP="001205A4">
      <w:pPr>
        <w:spacing w:after="0"/>
        <w:jc w:val="center"/>
        <w:rPr>
          <w:b/>
          <w:sz w:val="28"/>
          <w:szCs w:val="36"/>
        </w:rPr>
      </w:pPr>
      <w:r w:rsidRPr="00E77383">
        <w:rPr>
          <w:b/>
          <w:sz w:val="28"/>
          <w:szCs w:val="36"/>
        </w:rPr>
        <w:t>Appel à projets</w:t>
      </w:r>
    </w:p>
    <w:p w14:paraId="0FCCE323" w14:textId="434BAFF5" w:rsidR="00B6278A" w:rsidRPr="00E77383" w:rsidRDefault="00B6278A" w:rsidP="001205A4">
      <w:pPr>
        <w:spacing w:after="0"/>
        <w:jc w:val="center"/>
        <w:rPr>
          <w:b/>
          <w:sz w:val="28"/>
          <w:szCs w:val="36"/>
        </w:rPr>
      </w:pPr>
      <w:r w:rsidRPr="00E77383">
        <w:rPr>
          <w:b/>
          <w:sz w:val="28"/>
          <w:szCs w:val="36"/>
        </w:rPr>
        <w:t>Plan d’éducation aux arts et patrimoines</w:t>
      </w:r>
    </w:p>
    <w:p w14:paraId="230B38BF" w14:textId="2C65CE4C" w:rsidR="0050234C" w:rsidRPr="00E77383" w:rsidRDefault="00B6278A" w:rsidP="001205A4">
      <w:pPr>
        <w:spacing w:after="0"/>
        <w:jc w:val="center"/>
        <w:rPr>
          <w:b/>
          <w:sz w:val="28"/>
          <w:szCs w:val="36"/>
        </w:rPr>
      </w:pPr>
      <w:r w:rsidRPr="00E77383">
        <w:rPr>
          <w:b/>
          <w:sz w:val="28"/>
          <w:szCs w:val="36"/>
        </w:rPr>
        <w:t>pour l’année scolaire 202</w:t>
      </w:r>
      <w:r w:rsidR="00EC2A0F">
        <w:rPr>
          <w:b/>
          <w:sz w:val="28"/>
          <w:szCs w:val="36"/>
        </w:rPr>
        <w:t>4</w:t>
      </w:r>
      <w:r w:rsidRPr="00E77383">
        <w:rPr>
          <w:b/>
          <w:sz w:val="28"/>
          <w:szCs w:val="36"/>
        </w:rPr>
        <w:t>-202</w:t>
      </w:r>
      <w:r w:rsidR="00EC2A0F">
        <w:rPr>
          <w:b/>
          <w:sz w:val="28"/>
          <w:szCs w:val="36"/>
        </w:rPr>
        <w:t>5</w:t>
      </w:r>
    </w:p>
    <w:p w14:paraId="008CB9B4" w14:textId="365767DC" w:rsidR="0050234C" w:rsidRPr="0050234C" w:rsidRDefault="0050234C" w:rsidP="001205A4">
      <w:pPr>
        <w:spacing w:after="0"/>
        <w:jc w:val="center"/>
        <w:rPr>
          <w:b/>
          <w:sz w:val="24"/>
          <w:szCs w:val="24"/>
        </w:rPr>
      </w:pPr>
    </w:p>
    <w:p w14:paraId="31BCD85A" w14:textId="77777777" w:rsidR="00244DD0" w:rsidRPr="00244DD0" w:rsidRDefault="00244DD0" w:rsidP="001205A4">
      <w:pPr>
        <w:spacing w:after="0"/>
        <w:jc w:val="both"/>
        <w:rPr>
          <w:sz w:val="16"/>
          <w:szCs w:val="16"/>
        </w:rPr>
      </w:pPr>
    </w:p>
    <w:p w14:paraId="5A111281" w14:textId="5C3B0EDE" w:rsidR="00B6278A" w:rsidRDefault="0050234C" w:rsidP="001205A4">
      <w:pPr>
        <w:spacing w:after="0"/>
        <w:ind w:firstLine="708"/>
        <w:jc w:val="both"/>
      </w:pPr>
      <w:r>
        <w:t xml:space="preserve">En application des recommandations </w:t>
      </w:r>
      <w:r w:rsidR="00347796">
        <w:t xml:space="preserve">du </w:t>
      </w:r>
      <w:r w:rsidR="00B6278A">
        <w:t>s</w:t>
      </w:r>
      <w:r w:rsidR="00534AE6">
        <w:t>c</w:t>
      </w:r>
      <w:r w:rsidR="00347796">
        <w:t xml:space="preserve">héma </w:t>
      </w:r>
      <w:r w:rsidR="00B6278A">
        <w:t xml:space="preserve">territorial </w:t>
      </w:r>
      <w:r w:rsidR="00347796">
        <w:t xml:space="preserve">de </w:t>
      </w:r>
      <w:r w:rsidR="00B6278A">
        <w:t>d</w:t>
      </w:r>
      <w:r w:rsidR="00347796">
        <w:t xml:space="preserve">éveloppement </w:t>
      </w:r>
      <w:r w:rsidR="00B6278A">
        <w:t>c</w:t>
      </w:r>
      <w:r w:rsidR="00347796">
        <w:t>ulture</w:t>
      </w:r>
      <w:r w:rsidR="00BF4FB6">
        <w:t>l</w:t>
      </w:r>
      <w:r w:rsidR="00B6278A">
        <w:t xml:space="preserve"> et du règlement d’attribution des aides culturelles territoriales</w:t>
      </w:r>
      <w:r w:rsidR="00BF4FB6">
        <w:t xml:space="preserve">, la </w:t>
      </w:r>
      <w:r w:rsidR="004C0086">
        <w:t>Collectivité Territoriale de</w:t>
      </w:r>
      <w:r w:rsidR="00347796">
        <w:t xml:space="preserve"> Guyane </w:t>
      </w:r>
      <w:r w:rsidR="004C0086">
        <w:t xml:space="preserve">(CTG) </w:t>
      </w:r>
      <w:r w:rsidR="00B6278A">
        <w:t>renouvelle son</w:t>
      </w:r>
      <w:r w:rsidR="002D46E9">
        <w:t xml:space="preserve"> </w:t>
      </w:r>
      <w:r w:rsidR="00B6278A">
        <w:t>p</w:t>
      </w:r>
      <w:r w:rsidR="002D46E9">
        <w:t>lan d’</w:t>
      </w:r>
      <w:r w:rsidR="00B6278A">
        <w:t>é</w:t>
      </w:r>
      <w:r w:rsidR="002D46E9">
        <w:t xml:space="preserve">ducation aux </w:t>
      </w:r>
      <w:r w:rsidR="00B6278A">
        <w:t>a</w:t>
      </w:r>
      <w:r w:rsidR="00347796">
        <w:t>rts e</w:t>
      </w:r>
      <w:r w:rsidR="00534AE6">
        <w:t>t</w:t>
      </w:r>
      <w:r w:rsidR="002D46E9">
        <w:t xml:space="preserve"> </w:t>
      </w:r>
      <w:r w:rsidR="00B6278A">
        <w:t>p</w:t>
      </w:r>
      <w:r>
        <w:t>atrimoines (</w:t>
      </w:r>
      <w:r w:rsidR="002D46E9">
        <w:t>P</w:t>
      </w:r>
      <w:r>
        <w:t>EAP)</w:t>
      </w:r>
      <w:r w:rsidR="00B6278A">
        <w:t xml:space="preserve">. </w:t>
      </w:r>
    </w:p>
    <w:p w14:paraId="34C4C3BF" w14:textId="5B1BA340" w:rsidR="00254E23" w:rsidRDefault="00B6278A" w:rsidP="001205A4">
      <w:pPr>
        <w:spacing w:after="0"/>
        <w:ind w:firstLine="708"/>
        <w:jc w:val="both"/>
      </w:pPr>
      <w:r>
        <w:t xml:space="preserve">Ce plan a pour </w:t>
      </w:r>
      <w:r w:rsidR="00347796">
        <w:t xml:space="preserve">objectif </w:t>
      </w:r>
      <w:r w:rsidR="006D104D">
        <w:t xml:space="preserve">la transmission </w:t>
      </w:r>
      <w:r w:rsidR="0078262E">
        <w:t xml:space="preserve">et la valorisation </w:t>
      </w:r>
      <w:r w:rsidR="006D104D">
        <w:t>des savoirs, savoir-faire et pratiques artistiques</w:t>
      </w:r>
      <w:r w:rsidR="00C02F60">
        <w:t xml:space="preserve"> </w:t>
      </w:r>
      <w:r w:rsidR="00534AE6">
        <w:t>de Guyane</w:t>
      </w:r>
      <w:r w:rsidR="007A3FCF">
        <w:t xml:space="preserve"> </w:t>
      </w:r>
      <w:r w:rsidR="006D104D">
        <w:t xml:space="preserve">dans le cadre </w:t>
      </w:r>
      <w:r w:rsidR="0078262E">
        <w:t xml:space="preserve">du </w:t>
      </w:r>
      <w:r w:rsidR="006D104D">
        <w:t>temps scolaire</w:t>
      </w:r>
      <w:r w:rsidR="00347796">
        <w:t xml:space="preserve">. </w:t>
      </w:r>
    </w:p>
    <w:p w14:paraId="4A78CD1A" w14:textId="77777777" w:rsidR="006D104D" w:rsidRDefault="006D104D" w:rsidP="001205A4">
      <w:pPr>
        <w:spacing w:after="0"/>
        <w:ind w:firstLine="708"/>
        <w:jc w:val="both"/>
      </w:pPr>
    </w:p>
    <w:p w14:paraId="7B964D90" w14:textId="35107CD9" w:rsidR="002C55EC" w:rsidRDefault="006D104D" w:rsidP="001205A4">
      <w:pPr>
        <w:spacing w:after="0"/>
        <w:ind w:firstLine="708"/>
        <w:jc w:val="both"/>
      </w:pPr>
      <w:r>
        <w:t>L</w:t>
      </w:r>
      <w:r w:rsidR="002C55EC">
        <w:t xml:space="preserve">a </w:t>
      </w:r>
      <w:r w:rsidR="004C0086">
        <w:t>CTG</w:t>
      </w:r>
      <w:r w:rsidR="002C55EC">
        <w:t xml:space="preserve"> </w:t>
      </w:r>
      <w:r w:rsidR="00674199">
        <w:t>lance un appel à projets</w:t>
      </w:r>
      <w:r w:rsidR="002D46E9">
        <w:t xml:space="preserve"> </w:t>
      </w:r>
      <w:r w:rsidR="00674199">
        <w:t xml:space="preserve">pour l’année </w:t>
      </w:r>
      <w:r w:rsidR="00824991">
        <w:t>académique</w:t>
      </w:r>
      <w:r w:rsidR="00674199">
        <w:t xml:space="preserve"> 202</w:t>
      </w:r>
      <w:r w:rsidR="00EC2A0F">
        <w:t>4</w:t>
      </w:r>
      <w:r w:rsidR="00674199">
        <w:t>-202</w:t>
      </w:r>
      <w:r w:rsidR="00EC2A0F">
        <w:t>5</w:t>
      </w:r>
      <w:r w:rsidR="00674199">
        <w:t xml:space="preserve"> auprès des</w:t>
      </w:r>
      <w:r w:rsidR="002D46E9">
        <w:t xml:space="preserve"> </w:t>
      </w:r>
      <w:r w:rsidR="002C55EC">
        <w:t xml:space="preserve">associations </w:t>
      </w:r>
      <w:r w:rsidR="00674199">
        <w:t xml:space="preserve">culturelles, artisans, </w:t>
      </w:r>
      <w:r w:rsidR="002C55EC">
        <w:t xml:space="preserve">artistes </w:t>
      </w:r>
      <w:r w:rsidR="00674199">
        <w:t xml:space="preserve">déclarés, qui porteront les opérations de formation et </w:t>
      </w:r>
      <w:r>
        <w:t xml:space="preserve">de </w:t>
      </w:r>
      <w:r w:rsidR="00674199">
        <w:t>transmission en partenariat étroit avec les établissements scolaires et les enseignants</w:t>
      </w:r>
      <w:r w:rsidR="002C55EC">
        <w:t xml:space="preserve">. </w:t>
      </w:r>
    </w:p>
    <w:p w14:paraId="75CAE4FA" w14:textId="77777777" w:rsidR="001205A4" w:rsidRDefault="001205A4" w:rsidP="001205A4">
      <w:pPr>
        <w:spacing w:after="0"/>
        <w:jc w:val="both"/>
      </w:pPr>
    </w:p>
    <w:p w14:paraId="0A96AD69" w14:textId="6070EB92" w:rsidR="001A5ABD" w:rsidRDefault="00254E23" w:rsidP="001205A4">
      <w:pPr>
        <w:spacing w:after="0"/>
        <w:jc w:val="both"/>
        <w:rPr>
          <w:b/>
        </w:rPr>
      </w:pPr>
      <w:r>
        <w:rPr>
          <w:b/>
        </w:rPr>
        <w:t xml:space="preserve">Pour participer à </w:t>
      </w:r>
      <w:r w:rsidR="0002447F">
        <w:rPr>
          <w:b/>
        </w:rPr>
        <w:t>ce dispositif</w:t>
      </w:r>
      <w:r w:rsidR="001205A4">
        <w:rPr>
          <w:b/>
        </w:rPr>
        <w:t>,</w:t>
      </w:r>
      <w:r>
        <w:rPr>
          <w:b/>
        </w:rPr>
        <w:t xml:space="preserve"> </w:t>
      </w:r>
      <w:r w:rsidR="001205A4">
        <w:rPr>
          <w:b/>
        </w:rPr>
        <w:t>nous vous invitons à</w:t>
      </w:r>
      <w:r>
        <w:rPr>
          <w:b/>
        </w:rPr>
        <w:t> :</w:t>
      </w:r>
    </w:p>
    <w:p w14:paraId="5F015C30" w14:textId="77777777" w:rsidR="001205A4" w:rsidRPr="00583E9A" w:rsidRDefault="001205A4" w:rsidP="001205A4">
      <w:pPr>
        <w:spacing w:after="0"/>
        <w:jc w:val="both"/>
        <w:rPr>
          <w:b/>
        </w:rPr>
      </w:pPr>
    </w:p>
    <w:p w14:paraId="51874D57" w14:textId="670A3C0B" w:rsidR="00254E23" w:rsidRPr="001205A4" w:rsidRDefault="00254E23" w:rsidP="001205A4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Prendre connaissance du </w:t>
      </w:r>
      <w:r w:rsidR="002D46E9" w:rsidRPr="001205A4">
        <w:rPr>
          <w:b/>
        </w:rPr>
        <w:t>cahier des charges</w:t>
      </w:r>
      <w:r w:rsidR="00383915" w:rsidRPr="001205A4">
        <w:t xml:space="preserve"> </w:t>
      </w:r>
      <w:r w:rsidR="002D46E9" w:rsidRPr="001205A4">
        <w:t>de l’appel à projet</w:t>
      </w:r>
      <w:r w:rsidR="0002447F">
        <w:t xml:space="preserve"> </w:t>
      </w:r>
      <w:r w:rsidRPr="001205A4">
        <w:t>;</w:t>
      </w:r>
    </w:p>
    <w:p w14:paraId="4EAEE549" w14:textId="02AC9321" w:rsidR="001A5ABD" w:rsidRDefault="001A5ABD" w:rsidP="001205A4">
      <w:pPr>
        <w:pStyle w:val="Paragraphedeliste"/>
        <w:numPr>
          <w:ilvl w:val="0"/>
          <w:numId w:val="1"/>
        </w:numPr>
        <w:spacing w:after="0"/>
        <w:jc w:val="both"/>
      </w:pPr>
      <w:r w:rsidRPr="001205A4">
        <w:t>Rempli</w:t>
      </w:r>
      <w:r w:rsidR="00254E23" w:rsidRPr="001205A4">
        <w:t>r le</w:t>
      </w:r>
      <w:r w:rsidRPr="001205A4">
        <w:t xml:space="preserve"> </w:t>
      </w:r>
      <w:r w:rsidRPr="001205A4">
        <w:rPr>
          <w:b/>
        </w:rPr>
        <w:t xml:space="preserve">formulaire </w:t>
      </w:r>
      <w:r w:rsidR="00AB1EEF">
        <w:t>et</w:t>
      </w:r>
      <w:r>
        <w:t xml:space="preserve"> joi</w:t>
      </w:r>
      <w:r w:rsidR="00254E23">
        <w:t>ndre</w:t>
      </w:r>
      <w:r>
        <w:t xml:space="preserve"> les documents </w:t>
      </w:r>
      <w:r w:rsidR="00254E23">
        <w:t>nécessaires ;</w:t>
      </w:r>
    </w:p>
    <w:p w14:paraId="269F03D4" w14:textId="459249C2" w:rsidR="00254E23" w:rsidRDefault="001A5ABD" w:rsidP="001205A4">
      <w:pPr>
        <w:pStyle w:val="Paragraphedeliste"/>
        <w:numPr>
          <w:ilvl w:val="0"/>
          <w:numId w:val="1"/>
        </w:numPr>
        <w:spacing w:after="0"/>
        <w:jc w:val="both"/>
        <w:rPr>
          <w:b/>
        </w:rPr>
      </w:pPr>
      <w:r>
        <w:t>Envoy</w:t>
      </w:r>
      <w:r w:rsidR="00AF09D5">
        <w:t>er</w:t>
      </w:r>
      <w:r>
        <w:t xml:space="preserve"> le dossier </w:t>
      </w:r>
      <w:r w:rsidR="00F20B71">
        <w:t>à</w:t>
      </w:r>
      <w:r>
        <w:t xml:space="preserve"> la </w:t>
      </w:r>
      <w:r w:rsidR="004C0086">
        <w:t>CTG</w:t>
      </w:r>
      <w:r>
        <w:t xml:space="preserve"> </w:t>
      </w:r>
      <w:r w:rsidR="00AB1EEF">
        <w:t xml:space="preserve">(à l’attention du </w:t>
      </w:r>
      <w:r w:rsidR="00267288">
        <w:t>service Langues et Patrimoine</w:t>
      </w:r>
      <w:r w:rsidR="00AB1EEF">
        <w:t xml:space="preserve">) </w:t>
      </w:r>
      <w:r w:rsidR="001205A4">
        <w:t>par courriel uniquement</w:t>
      </w:r>
      <w:r w:rsidR="0002447F">
        <w:t xml:space="preserve">, à l’adresse </w:t>
      </w:r>
      <w:hyperlink r:id="rId6" w:history="1">
        <w:r w:rsidR="0002447F" w:rsidRPr="00FD1F1C">
          <w:rPr>
            <w:rStyle w:val="Lienhypertexte"/>
            <w:b/>
          </w:rPr>
          <w:t>patrimoinesculturels@ctguyane.fr</w:t>
        </w:r>
      </w:hyperlink>
      <w:r w:rsidR="0002447F" w:rsidRPr="0002447F">
        <w:rPr>
          <w:rStyle w:val="Lienhypertexte"/>
          <w:color w:val="auto"/>
          <w:u w:val="none"/>
        </w:rPr>
        <w:t>,</w:t>
      </w:r>
      <w:r w:rsidR="001205A4">
        <w:t xml:space="preserve"> </w:t>
      </w:r>
      <w:r w:rsidR="0002447F">
        <w:t>avant</w:t>
      </w:r>
      <w:r w:rsidR="00254E23">
        <w:t xml:space="preserve"> </w:t>
      </w:r>
      <w:r w:rsidR="00254E23" w:rsidRPr="001205A4">
        <w:rPr>
          <w:b/>
        </w:rPr>
        <w:t>le</w:t>
      </w:r>
      <w:r w:rsidR="00A36CD1">
        <w:rPr>
          <w:b/>
        </w:rPr>
        <w:t xml:space="preserve"> </w:t>
      </w:r>
      <w:r w:rsidR="00BD4FE7">
        <w:rPr>
          <w:b/>
        </w:rPr>
        <w:t xml:space="preserve">lundi </w:t>
      </w:r>
      <w:r w:rsidR="00EC2A0F">
        <w:rPr>
          <w:b/>
        </w:rPr>
        <w:t>30 septembre 2024</w:t>
      </w:r>
      <w:r w:rsidR="00C70B7B" w:rsidRPr="001205A4">
        <w:rPr>
          <w:b/>
        </w:rPr>
        <w:t xml:space="preserve"> </w:t>
      </w:r>
      <w:r w:rsidR="00254E23" w:rsidRPr="001205A4">
        <w:rPr>
          <w:b/>
        </w:rPr>
        <w:t>;</w:t>
      </w:r>
    </w:p>
    <w:p w14:paraId="523A93F9" w14:textId="77777777" w:rsidR="001205A4" w:rsidRDefault="001205A4" w:rsidP="001205A4">
      <w:pPr>
        <w:spacing w:after="0"/>
        <w:jc w:val="both"/>
        <w:rPr>
          <w:b/>
        </w:rPr>
      </w:pPr>
    </w:p>
    <w:p w14:paraId="3D629B7B" w14:textId="77777777" w:rsidR="0012667F" w:rsidRDefault="00AB1EEF" w:rsidP="001205A4">
      <w:pPr>
        <w:spacing w:after="0"/>
        <w:ind w:firstLine="360"/>
        <w:jc w:val="both"/>
        <w:rPr>
          <w:b/>
        </w:rPr>
      </w:pPr>
      <w:r w:rsidRPr="00AB1EEF">
        <w:rPr>
          <w:b/>
        </w:rPr>
        <w:t xml:space="preserve">Le cahier des charges et le formulaire de réponse sont disponibles </w:t>
      </w:r>
      <w:r w:rsidR="00E926AB">
        <w:rPr>
          <w:b/>
        </w:rPr>
        <w:t xml:space="preserve">sur simple demande en écrivant à </w:t>
      </w:r>
      <w:hyperlink r:id="rId7" w:history="1">
        <w:r w:rsidR="00383915" w:rsidRPr="00FD1F1C">
          <w:rPr>
            <w:rStyle w:val="Lienhypertexte"/>
            <w:b/>
          </w:rPr>
          <w:t>patrimoinesculturels@ctguyane.fr</w:t>
        </w:r>
      </w:hyperlink>
      <w:r w:rsidR="004D2AB5">
        <w:rPr>
          <w:b/>
        </w:rPr>
        <w:t xml:space="preserve"> ou téléchargeables sur le site internet de la Collectivité Territoriale de Guyane.</w:t>
      </w:r>
    </w:p>
    <w:p w14:paraId="78EA4AF3" w14:textId="77777777" w:rsidR="0002447F" w:rsidRPr="00AB1EEF" w:rsidRDefault="0002447F" w:rsidP="001205A4">
      <w:pPr>
        <w:spacing w:after="0"/>
        <w:ind w:firstLine="360"/>
        <w:jc w:val="both"/>
        <w:rPr>
          <w:b/>
        </w:rPr>
      </w:pPr>
    </w:p>
    <w:p w14:paraId="3D2B6B4F" w14:textId="7A6134AF" w:rsidR="00347796" w:rsidRDefault="001205A4" w:rsidP="001205A4">
      <w:pPr>
        <w:spacing w:after="0"/>
        <w:ind w:firstLine="360"/>
        <w:jc w:val="both"/>
      </w:pPr>
      <w:r w:rsidRPr="001205A4">
        <w:rPr>
          <w:b/>
        </w:rPr>
        <w:t>Pour tous renseignements</w:t>
      </w:r>
      <w:r>
        <w:t> :</w:t>
      </w:r>
    </w:p>
    <w:p w14:paraId="523D9F78" w14:textId="5396C13C" w:rsidR="001205A4" w:rsidRDefault="00EC2A0F" w:rsidP="001205A4">
      <w:pPr>
        <w:spacing w:after="0"/>
        <w:jc w:val="both"/>
      </w:pPr>
      <w:hyperlink r:id="rId8" w:history="1">
        <w:r w:rsidR="001205A4" w:rsidRPr="00B44657">
          <w:rPr>
            <w:rStyle w:val="Lienhypertexte"/>
          </w:rPr>
          <w:t>patrimoinesculturels@ctguyane.fr</w:t>
        </w:r>
      </w:hyperlink>
    </w:p>
    <w:p w14:paraId="211BADDD" w14:textId="0D023961" w:rsidR="001205A4" w:rsidRDefault="0002447F" w:rsidP="001205A4">
      <w:pPr>
        <w:spacing w:after="0"/>
        <w:jc w:val="both"/>
      </w:pPr>
      <w:r>
        <w:t>05 94 27 12 28</w:t>
      </w:r>
      <w:r w:rsidR="00104FA5">
        <w:t> ; 05 94 27 58 27 </w:t>
      </w:r>
    </w:p>
    <w:p w14:paraId="7E2F1C20" w14:textId="4CE58EA4" w:rsidR="001205A4" w:rsidRDefault="00DF43CF" w:rsidP="001205A4">
      <w:pPr>
        <w:spacing w:after="0"/>
        <w:jc w:val="both"/>
      </w:pPr>
      <w:r>
        <w:t>Service Langues et Patrimoine</w:t>
      </w:r>
    </w:p>
    <w:p w14:paraId="52384574" w14:textId="77777777" w:rsidR="00E77383" w:rsidRDefault="00E77383" w:rsidP="001205A4">
      <w:pPr>
        <w:spacing w:after="0"/>
        <w:jc w:val="both"/>
      </w:pPr>
    </w:p>
    <w:p w14:paraId="53CD4782" w14:textId="333E3D05" w:rsidR="00E77383" w:rsidRPr="00B30BA2" w:rsidRDefault="00E77383" w:rsidP="0067442D">
      <w:pPr>
        <w:spacing w:after="0"/>
        <w:ind w:firstLine="708"/>
        <w:jc w:val="both"/>
        <w:rPr>
          <w:i/>
          <w:sz w:val="24"/>
          <w:szCs w:val="24"/>
        </w:rPr>
      </w:pPr>
      <w:r w:rsidRPr="0050234C">
        <w:rPr>
          <w:i/>
          <w:sz w:val="24"/>
          <w:szCs w:val="24"/>
        </w:rPr>
        <w:t>Devene</w:t>
      </w:r>
      <w:r>
        <w:rPr>
          <w:i/>
          <w:sz w:val="24"/>
          <w:szCs w:val="24"/>
        </w:rPr>
        <w:t>z d</w:t>
      </w:r>
      <w:r w:rsidRPr="0050234C">
        <w:rPr>
          <w:i/>
          <w:sz w:val="24"/>
          <w:szCs w:val="24"/>
        </w:rPr>
        <w:t xml:space="preserve">es acteurs de </w:t>
      </w:r>
      <w:r w:rsidR="006D104D">
        <w:rPr>
          <w:i/>
          <w:sz w:val="24"/>
          <w:szCs w:val="24"/>
        </w:rPr>
        <w:t xml:space="preserve">la </w:t>
      </w:r>
      <w:r w:rsidRPr="0050234C">
        <w:rPr>
          <w:i/>
          <w:sz w:val="24"/>
          <w:szCs w:val="24"/>
        </w:rPr>
        <w:t xml:space="preserve">transmission et de </w:t>
      </w:r>
      <w:r w:rsidR="006D104D">
        <w:rPr>
          <w:i/>
          <w:sz w:val="24"/>
          <w:szCs w:val="24"/>
        </w:rPr>
        <w:t xml:space="preserve">la </w:t>
      </w:r>
      <w:r w:rsidRPr="0050234C">
        <w:rPr>
          <w:i/>
          <w:sz w:val="24"/>
          <w:szCs w:val="24"/>
        </w:rPr>
        <w:t xml:space="preserve">valorisation </w:t>
      </w:r>
      <w:r w:rsidR="0067442D">
        <w:rPr>
          <w:i/>
          <w:sz w:val="24"/>
          <w:szCs w:val="24"/>
        </w:rPr>
        <w:t xml:space="preserve">du patrimoine </w:t>
      </w:r>
      <w:r w:rsidR="00B30BA2">
        <w:rPr>
          <w:i/>
          <w:sz w:val="24"/>
          <w:szCs w:val="24"/>
        </w:rPr>
        <w:t>auprès du public scolaire</w:t>
      </w:r>
      <w:r w:rsidR="0067442D">
        <w:rPr>
          <w:i/>
          <w:sz w:val="24"/>
          <w:szCs w:val="24"/>
        </w:rPr>
        <w:t xml:space="preserve"> guyanais</w:t>
      </w:r>
      <w:r>
        <w:rPr>
          <w:i/>
          <w:sz w:val="24"/>
          <w:szCs w:val="24"/>
        </w:rPr>
        <w:t> !</w:t>
      </w:r>
    </w:p>
    <w:sectPr w:rsidR="00E77383" w:rsidRPr="00B30BA2" w:rsidSect="0006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50E9C"/>
    <w:multiLevelType w:val="hybridMultilevel"/>
    <w:tmpl w:val="7F882D5C"/>
    <w:lvl w:ilvl="0" w:tplc="6A804E4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796"/>
    <w:rsid w:val="0002447F"/>
    <w:rsid w:val="000642E8"/>
    <w:rsid w:val="000B1735"/>
    <w:rsid w:val="000B6D92"/>
    <w:rsid w:val="000C66C4"/>
    <w:rsid w:val="000C66F4"/>
    <w:rsid w:val="00104FA5"/>
    <w:rsid w:val="001205A4"/>
    <w:rsid w:val="001242D9"/>
    <w:rsid w:val="0012667F"/>
    <w:rsid w:val="001856B6"/>
    <w:rsid w:val="001A22D6"/>
    <w:rsid w:val="001A5ABD"/>
    <w:rsid w:val="001D484B"/>
    <w:rsid w:val="002012C5"/>
    <w:rsid w:val="00244DD0"/>
    <w:rsid w:val="00254E23"/>
    <w:rsid w:val="00255DA3"/>
    <w:rsid w:val="00267288"/>
    <w:rsid w:val="00293D68"/>
    <w:rsid w:val="002C55EC"/>
    <w:rsid w:val="002D46E9"/>
    <w:rsid w:val="002E6788"/>
    <w:rsid w:val="00301C30"/>
    <w:rsid w:val="00347796"/>
    <w:rsid w:val="00383915"/>
    <w:rsid w:val="003A2B6B"/>
    <w:rsid w:val="0042026A"/>
    <w:rsid w:val="00462448"/>
    <w:rsid w:val="004B67DE"/>
    <w:rsid w:val="004C0086"/>
    <w:rsid w:val="004D2AB5"/>
    <w:rsid w:val="0050234C"/>
    <w:rsid w:val="00506BCE"/>
    <w:rsid w:val="00534AE6"/>
    <w:rsid w:val="00534BFF"/>
    <w:rsid w:val="00571C39"/>
    <w:rsid w:val="00583E9A"/>
    <w:rsid w:val="00585934"/>
    <w:rsid w:val="005A35E7"/>
    <w:rsid w:val="005D41F9"/>
    <w:rsid w:val="00637FDE"/>
    <w:rsid w:val="00674199"/>
    <w:rsid w:val="0067442D"/>
    <w:rsid w:val="006A6D09"/>
    <w:rsid w:val="006B3E78"/>
    <w:rsid w:val="006B78CE"/>
    <w:rsid w:val="006C56CB"/>
    <w:rsid w:val="006D104D"/>
    <w:rsid w:val="006F31D8"/>
    <w:rsid w:val="00773A36"/>
    <w:rsid w:val="007813D3"/>
    <w:rsid w:val="0078262E"/>
    <w:rsid w:val="007A3FCF"/>
    <w:rsid w:val="007E45DB"/>
    <w:rsid w:val="00824991"/>
    <w:rsid w:val="0083370E"/>
    <w:rsid w:val="0086417E"/>
    <w:rsid w:val="008B7DC2"/>
    <w:rsid w:val="0090416E"/>
    <w:rsid w:val="00921888"/>
    <w:rsid w:val="00934F62"/>
    <w:rsid w:val="0095158D"/>
    <w:rsid w:val="00980D0E"/>
    <w:rsid w:val="0099315E"/>
    <w:rsid w:val="009942A5"/>
    <w:rsid w:val="009C0981"/>
    <w:rsid w:val="00A20C33"/>
    <w:rsid w:val="00A36CD1"/>
    <w:rsid w:val="00AB1EEF"/>
    <w:rsid w:val="00AF09D5"/>
    <w:rsid w:val="00B30BA2"/>
    <w:rsid w:val="00B315E5"/>
    <w:rsid w:val="00B6278A"/>
    <w:rsid w:val="00B96B40"/>
    <w:rsid w:val="00BA0C89"/>
    <w:rsid w:val="00BB2B71"/>
    <w:rsid w:val="00BB6A0E"/>
    <w:rsid w:val="00BD4FE7"/>
    <w:rsid w:val="00BE0D21"/>
    <w:rsid w:val="00BF4FB6"/>
    <w:rsid w:val="00C02F60"/>
    <w:rsid w:val="00C05032"/>
    <w:rsid w:val="00C07C4B"/>
    <w:rsid w:val="00C43155"/>
    <w:rsid w:val="00C50F55"/>
    <w:rsid w:val="00C70B7B"/>
    <w:rsid w:val="00CB062F"/>
    <w:rsid w:val="00CB683E"/>
    <w:rsid w:val="00CD693D"/>
    <w:rsid w:val="00D139EB"/>
    <w:rsid w:val="00D8216D"/>
    <w:rsid w:val="00DE7724"/>
    <w:rsid w:val="00DF43CF"/>
    <w:rsid w:val="00E17C4D"/>
    <w:rsid w:val="00E43B55"/>
    <w:rsid w:val="00E468CF"/>
    <w:rsid w:val="00E47EA4"/>
    <w:rsid w:val="00E50ED6"/>
    <w:rsid w:val="00E648D4"/>
    <w:rsid w:val="00E77383"/>
    <w:rsid w:val="00E926AB"/>
    <w:rsid w:val="00EC2A0F"/>
    <w:rsid w:val="00ED7858"/>
    <w:rsid w:val="00EF6FCA"/>
    <w:rsid w:val="00F20B71"/>
    <w:rsid w:val="00F5112F"/>
    <w:rsid w:val="00F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8444"/>
  <w15:docId w15:val="{45D4BC1E-E852-4778-B8A3-806A0EA9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2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5A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67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B1EE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B6A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6A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6A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6A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6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moinesculturels@ctguyan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moinesculturels@ctguya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moinesculturels@ctguyane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Stagiaire-CULTURE</dc:creator>
  <cp:lastModifiedBy>Florus KITTERIMOUTOU</cp:lastModifiedBy>
  <cp:revision>12</cp:revision>
  <cp:lastPrinted>2021-05-19T10:53:00Z</cp:lastPrinted>
  <dcterms:created xsi:type="dcterms:W3CDTF">2022-05-16T17:22:00Z</dcterms:created>
  <dcterms:modified xsi:type="dcterms:W3CDTF">2024-07-08T11:32:00Z</dcterms:modified>
</cp:coreProperties>
</file>